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35AF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6FED5B4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4AC47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09BC08D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CE22432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2A934425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EA9F8D5" w14:textId="77777777" w:rsidR="001D53DC" w:rsidRDefault="006D60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40AB626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0DAB73D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05873215" w14:textId="6FA4A112" w:rsidR="001D53DC" w:rsidRPr="00112107" w:rsidRDefault="00B7502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Puude istutamine linnakeskkonda</w:t>
            </w:r>
            <w:r w:rsidR="00B72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990D99" w14:textId="77777777" w:rsidR="00146A19" w:rsidRDefault="00146A1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4557C6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09E9D4C5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6A943F83" w14:textId="77777777" w:rsidR="001D53DC" w:rsidRDefault="0078681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518554E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6E923FE6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7BAA5B81" w14:textId="77777777" w:rsidR="001779B5" w:rsidRDefault="006D60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03180C0D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2FD2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DFCFCF2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0798DE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44804E3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09469950" w14:textId="77777777" w:rsidR="00786810" w:rsidRDefault="00786810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Haljastus-,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arboristi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ja ehitusettevõtete töötajad, k</w:t>
            </w:r>
            <w:r w:rsidRP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ohalike omavalitsuste haljastustöötajad 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ametnikud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743E0B" w14:textId="77777777" w:rsidR="00786810" w:rsidRDefault="00786810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D1DBD" w14:textId="77777777" w:rsidR="00112107" w:rsidRDefault="00B96A35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  <w:r w:rsidR="00964651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- ja aiandus</w:t>
            </w:r>
            <w:r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valdkonnas töötavad aegunud  oskustega</w:t>
            </w:r>
            <w:r w:rsidR="00112107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 erialase hariduseta isikud.</w:t>
            </w:r>
            <w:r w:rsidR="001121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1CEAAB50" w14:textId="77777777" w:rsidR="00112107" w:rsidRDefault="00112107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44D3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42B9A" w14:textId="3EC90A2E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6D60A1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04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65BF5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inimest</w:t>
            </w:r>
          </w:p>
          <w:p w14:paraId="158971E3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26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Soovituslikult eelnevad teadmised metsandus- ja/või aiandusvaldkonnas.</w:t>
            </w:r>
          </w:p>
          <w:p w14:paraId="54E2DB1E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E77FF82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808ABC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17571854" w14:textId="3B9099C7" w:rsidR="00386D30" w:rsidRPr="00386D30" w:rsidRDefault="004804E0" w:rsidP="00386D30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selgitab</w:t>
            </w:r>
            <w:r w:rsidR="00386D30" w:rsidRP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puittaimede kasvatamiseks sobivate kasvupinnast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ja multšide parameetrite erisusi</w:t>
            </w:r>
            <w:r w:rsid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34D13AE" w14:textId="77777777" w:rsidR="00386D30" w:rsidRPr="00386D30" w:rsidRDefault="00386D30" w:rsidP="00386D30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>indab istikute kvaliteeti ning selgitab istikute säilitamise ja transpordi põhimõtteid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EF8A06D" w14:textId="77777777" w:rsidR="00386D30" w:rsidRPr="00386D30" w:rsidRDefault="00386D30" w:rsidP="00386D30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>almistab ette istutuskoha, arvestades istiku ja selle juurestiku suurust ning kasvupinnase iseloomu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2F4180" w14:textId="77777777" w:rsidR="00386D30" w:rsidRPr="00386D30" w:rsidRDefault="00386D30" w:rsidP="00386D30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>istutab puittaimi, arvestades istiku eripära, bioloogiat ning projektist ja kasvukohast tulenevaid nõudeid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792471" w14:textId="77232015" w:rsidR="001D53DC" w:rsidRDefault="006622B6" w:rsidP="006622B6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järelhooldab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istutatud puittaimi </w:t>
            </w:r>
            <w:r w:rsidR="00386D30" w:rsidRP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>lähtudes nende bioloogiast ja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svukoha eripärast ning kasutab</w:t>
            </w:r>
            <w:r w:rsidR="00386D30" w:rsidRP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asjakohaseid töövahendeid ja –materjale.</w:t>
            </w:r>
          </w:p>
        </w:tc>
      </w:tr>
      <w:tr w:rsidR="001D53DC" w14:paraId="52205D84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91ECD3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3537493F" w14:textId="77777777" w:rsidR="00146A19" w:rsidRPr="00146A19" w:rsidRDefault="00146A19" w:rsidP="00146A1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proofErr w:type="spellStart"/>
            <w:r w:rsid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Arborist</w:t>
            </w:r>
            <w:proofErr w:type="spellEnd"/>
            <w:r w:rsid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, tase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Kutsestandardi tähis: </w:t>
            </w:r>
            <w:r w:rsidR="00786810" w:rsidRP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16-06122018-5.2/5k</w:t>
            </w:r>
          </w:p>
          <w:p w14:paraId="2501D3A0" w14:textId="77777777" w:rsidR="001D53DC" w:rsidRDefault="00146A19" w:rsidP="00B7502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Vastutav kutsenõukogu:</w:t>
            </w:r>
            <w:r w:rsid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810" w:rsidRP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Metsanduse Kutsenõukogu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Otsus:</w:t>
            </w:r>
            <w:r w:rsid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13/</w:t>
            </w:r>
            <w:r w:rsidR="00786810">
              <w:t xml:space="preserve"> </w:t>
            </w:r>
            <w:r w:rsidR="00786810" w:rsidRPr="00786810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Kompetents</w:t>
            </w:r>
            <w:r w:rsidR="00B7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02F" w:rsidRPr="00B7502F">
              <w:rPr>
                <w:rFonts w:ascii="Times New Roman" w:eastAsia="Times New Roman" w:hAnsi="Times New Roman" w:cs="Times New Roman"/>
                <w:sz w:val="24"/>
                <w:szCs w:val="24"/>
              </w:rPr>
              <w:t>B.2.2 Puittaimede istutamine ja ümberistutamine</w:t>
            </w:r>
            <w:r w:rsidR="002350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13C77356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B07A3A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2E4E7ABD" w14:textId="262196D7" w:rsidR="001D53DC" w:rsidRDefault="00B96A35" w:rsidP="003F1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4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Sihtrühma valikul on lähtutud OSKA </w:t>
            </w:r>
            <w:r w:rsidR="005228D8" w:rsidRPr="00034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raportitest</w:t>
            </w:r>
            <w:r w:rsidR="00E84B76" w:rsidRPr="00034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Näiteks </w:t>
            </w:r>
            <w:r w:rsidR="00E84B76" w:rsidRPr="00034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B76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prognoositakse</w:t>
            </w:r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raportis</w:t>
            </w:r>
            <w:r w:rsidR="00E84B76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4B76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arboristide</w:t>
            </w:r>
            <w:proofErr w:type="spellEnd"/>
            <w:r w:rsidR="00034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kui uue kasvava kutseala, vajaduse kasvu</w:t>
            </w:r>
            <w:r w:rsidR="00E84B76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Paljud </w:t>
            </w:r>
            <w:proofErr w:type="spellStart"/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arboristid</w:t>
            </w:r>
            <w:proofErr w:type="spellEnd"/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seotud linna</w:t>
            </w:r>
            <w:r w:rsidR="00E84B76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haljastus</w:t>
            </w:r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ega. See</w:t>
            </w:r>
            <w:r w:rsidR="00E84B76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järjest enam populaarsem, </w:t>
            </w:r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kuna </w:t>
            </w:r>
            <w:r w:rsidR="00E84B76" w:rsidRPr="00E84B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suureneb inimeste teadlikkus ja linnastunud inimeste hoolivus oma aia ja puude vastu. </w:t>
            </w:r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Lisaks </w:t>
            </w:r>
            <w:proofErr w:type="spellStart"/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arboristidele</w:t>
            </w:r>
            <w:proofErr w:type="spellEnd"/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linnapuude istutusoskus vajalik ka teistele sihtrühmas nimetatud töötajatele. Väga sageli on nii kohalikes omavalitsustes kui ka </w:t>
            </w:r>
            <w:proofErr w:type="spellStart"/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erasektrori</w:t>
            </w:r>
            <w:proofErr w:type="spellEnd"/>
            <w:r w:rsidR="00662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ettevõtetes  linnapuude istutamise ülesande eest vastutavad inimesed, kes ei oma  teadmisi ja oskusi linnahaljastuse alal</w:t>
            </w:r>
            <w:r w:rsidR="003F1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Käesolev koolitus annab võimaluse vajalike oskuste omandamiseks või uuendamiseks.</w:t>
            </w:r>
          </w:p>
        </w:tc>
      </w:tr>
    </w:tbl>
    <w:p w14:paraId="65A07970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85FBDA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056D2099" w14:textId="77777777" w:rsidTr="00492738">
        <w:tc>
          <w:tcPr>
            <w:tcW w:w="7763" w:type="dxa"/>
            <w:shd w:val="clear" w:color="auto" w:fill="auto"/>
          </w:tcPr>
          <w:p w14:paraId="6BFC05E3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3E7ABB38" w14:textId="77777777" w:rsidR="001D53DC" w:rsidRDefault="0026247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04443375" w14:textId="77777777" w:rsidTr="00492738">
        <w:tc>
          <w:tcPr>
            <w:tcW w:w="7763" w:type="dxa"/>
            <w:shd w:val="clear" w:color="auto" w:fill="auto"/>
          </w:tcPr>
          <w:p w14:paraId="46884B7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75C43C24" w14:textId="77777777" w:rsidR="001D53DC" w:rsidRDefault="0026247F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590CE82E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4776C514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3273653C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0FFF87E4" w14:textId="77777777" w:rsidR="001D53DC" w:rsidRDefault="000340A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53DC" w14:paraId="43108AD8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5F3408F2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6A481CC1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6B840714" w14:textId="77777777" w:rsidR="001D53DC" w:rsidRDefault="000340A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D53DC" w14:paraId="6313411B" w14:textId="77777777" w:rsidTr="00492738">
        <w:tc>
          <w:tcPr>
            <w:tcW w:w="7763" w:type="dxa"/>
            <w:shd w:val="clear" w:color="auto" w:fill="auto"/>
          </w:tcPr>
          <w:p w14:paraId="6CAB4E9E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2F3EE8D" w14:textId="77777777" w:rsidR="001D53DC" w:rsidRDefault="005228D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4B597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5787F6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ABCE77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7E4DCB2D" w14:textId="77777777" w:rsidTr="00802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C079D1D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3B232AD1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4F2E6021" w14:textId="77777777" w:rsidR="00407C30" w:rsidRDefault="00407C3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</w:t>
            </w:r>
          </w:p>
          <w:p w14:paraId="412AA16A" w14:textId="77777777" w:rsidR="00DD3327" w:rsidRDefault="00DD332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7F27AB" w14:textId="77777777" w:rsidR="006B6115" w:rsidRDefault="006B6115" w:rsidP="00195626">
            <w:pPr>
              <w:pStyle w:val="Loendilik"/>
              <w:widowControl w:val="0"/>
              <w:numPr>
                <w:ilvl w:val="3"/>
                <w:numId w:val="1"/>
              </w:numPr>
              <w:shd w:val="clear" w:color="auto" w:fill="FFFFFF"/>
              <w:ind w:left="449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Puittaime ehitus ja talitlus</w:t>
            </w:r>
            <w:r w:rsidR="000340A6"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ed: puu </w:t>
            </w:r>
            <w:r w:rsidR="00DD3327">
              <w:rPr>
                <w:rFonts w:ascii="Times New Roman" w:eastAsia="Times New Roman" w:hAnsi="Times New Roman" w:cs="Times New Roman"/>
                <w:sz w:val="24"/>
                <w:szCs w:val="24"/>
              </w:rPr>
              <w:t>organid ja koed ning</w:t>
            </w:r>
            <w:r w:rsidR="000340A6"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nende ülesanded</w:t>
            </w:r>
          </w:p>
          <w:p w14:paraId="78217B86" w14:textId="77777777" w:rsidR="00DD3327" w:rsidRPr="00195626" w:rsidRDefault="00DD3327" w:rsidP="00DD3327">
            <w:pPr>
              <w:pStyle w:val="Loendilik"/>
              <w:widowControl w:val="0"/>
              <w:shd w:val="clear" w:color="auto" w:fill="FFFFFF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CAA8F" w14:textId="77777777" w:rsidR="00195626" w:rsidRPr="00195626" w:rsidRDefault="00195626" w:rsidP="00195626">
            <w:pPr>
              <w:pStyle w:val="Loendilik"/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49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Mullad ja kasvu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pinnased</w:t>
            </w:r>
          </w:p>
          <w:p w14:paraId="2A77F290" w14:textId="77777777" w:rsidR="00195626" w:rsidRPr="00195626" w:rsidRDefault="00195626" w:rsidP="00DD3327">
            <w:pPr>
              <w:pStyle w:val="Loendilik"/>
              <w:widowControl w:val="0"/>
              <w:numPr>
                <w:ilvl w:val="1"/>
                <w:numId w:val="13"/>
              </w:numPr>
              <w:shd w:val="clear" w:color="auto" w:fill="FFFFFF"/>
              <w:ind w:lef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Juurte levik ja selleks sobivad tingimused. Keerdjuur ja selle tekke põhjused.</w:t>
            </w:r>
          </w:p>
          <w:p w14:paraId="56A14425" w14:textId="77777777" w:rsidR="00195626" w:rsidRPr="00195626" w:rsidRDefault="00195626" w:rsidP="00DD3327">
            <w:pPr>
              <w:pStyle w:val="Loendilik"/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Kasvumuldade </w:t>
            </w:r>
            <w:r w:rsidR="00DD3327"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põhikarakteristikud</w:t>
            </w: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; mulla sobivuse hindamine</w:t>
            </w:r>
            <w:r w:rsidR="00DD3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C02460" w14:textId="77777777" w:rsidR="00195626" w:rsidRPr="00195626" w:rsidRDefault="00195626" w:rsidP="00DD3327">
            <w:pPr>
              <w:pStyle w:val="Loendilik"/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Kasvupinnaste  liigid lähtuvalt puuliigist ning istutuskoha asukohast</w:t>
            </w:r>
          </w:p>
          <w:p w14:paraId="7D401DAF" w14:textId="77777777" w:rsidR="00DD3327" w:rsidRPr="00195626" w:rsidRDefault="00DD3327" w:rsidP="00DD3327">
            <w:pPr>
              <w:pStyle w:val="Loendilik"/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Probleemid kasvupinnastega linnakeskkonnas; tihenemine</w:t>
            </w:r>
          </w:p>
          <w:p w14:paraId="1FBFC63A" w14:textId="77777777" w:rsidR="00DD3327" w:rsidRPr="00195626" w:rsidRDefault="00DD3327" w:rsidP="00DD3327">
            <w:pPr>
              <w:pStyle w:val="Loendilik"/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Juurestiku kaitsevööndi mõiste; tihenenud pinnaste parandamine</w:t>
            </w:r>
          </w:p>
          <w:p w14:paraId="1B245818" w14:textId="77777777" w:rsidR="00195626" w:rsidRPr="00195626" w:rsidRDefault="00195626" w:rsidP="00DD332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C544CF6" w14:textId="77777777" w:rsidR="00195626" w:rsidRPr="00195626" w:rsidRDefault="00195626" w:rsidP="0019562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Istutamine ja </w:t>
            </w:r>
            <w:proofErr w:type="spellStart"/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järelhooldus</w:t>
            </w:r>
            <w:proofErr w:type="spellEnd"/>
          </w:p>
          <w:p w14:paraId="291954B5" w14:textId="77777777" w:rsidR="00195626" w:rsidRPr="00DD3327" w:rsidRDefault="00DD3327" w:rsidP="00DD3327">
            <w:pPr>
              <w:pStyle w:val="Loendilik"/>
              <w:widowControl w:val="0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="00195626" w:rsidRPr="00DD3327">
              <w:rPr>
                <w:rFonts w:ascii="Times New Roman" w:eastAsia="Times New Roman" w:hAnsi="Times New Roman" w:cs="Times New Roman"/>
                <w:sz w:val="24"/>
                <w:szCs w:val="24"/>
              </w:rPr>
              <w:t>Istutusmaterjali tüübid ja kvaliteet</w:t>
            </w:r>
            <w:r w:rsidRPr="00DD3327">
              <w:rPr>
                <w:rFonts w:ascii="Times New Roman" w:eastAsia="Times New Roman" w:hAnsi="Times New Roman" w:cs="Times New Roman"/>
                <w:sz w:val="24"/>
                <w:szCs w:val="24"/>
              </w:rPr>
              <w:t>. Peamised istutusmaterjalil esinevad vead</w:t>
            </w:r>
          </w:p>
          <w:p w14:paraId="4BD36757" w14:textId="77777777" w:rsidR="00195626" w:rsidRPr="00195626" w:rsidRDefault="00195626" w:rsidP="00DD3327">
            <w:pPr>
              <w:pStyle w:val="Loendilik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2.2. Istutusmaterjali transport ja säilitamine</w:t>
            </w:r>
          </w:p>
          <w:p w14:paraId="0830484E" w14:textId="77777777" w:rsidR="00195626" w:rsidRPr="00195626" w:rsidRDefault="00195626" w:rsidP="00DD3327">
            <w:pPr>
              <w:pStyle w:val="Loendilik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Tänava- ja pargipuu istutamine </w:t>
            </w:r>
          </w:p>
          <w:p w14:paraId="3F5287B1" w14:textId="77777777" w:rsidR="00195626" w:rsidRPr="00195626" w:rsidRDefault="00195626" w:rsidP="00DD3327">
            <w:pPr>
              <w:pStyle w:val="Loendilik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2.4. Puude ümberistutamine</w:t>
            </w:r>
          </w:p>
          <w:p w14:paraId="5C2C6359" w14:textId="77777777" w:rsidR="00DD3327" w:rsidRDefault="00DD3327" w:rsidP="00DD3327">
            <w:pPr>
              <w:pStyle w:val="Loendilik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Järelhooldustööd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5626"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Istutaja</w:t>
            </w:r>
            <w:proofErr w:type="spellEnd"/>
            <w:r w:rsidR="00195626"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vastutus puu käek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äigu eest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järelhooldusperioodil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EC2334" w14:textId="77777777" w:rsidR="00DD3327" w:rsidRPr="00195626" w:rsidRDefault="00DD3327" w:rsidP="00DD3327">
            <w:pPr>
              <w:pStyle w:val="Loendilik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r w:rsidRPr="00DD3327">
              <w:rPr>
                <w:rFonts w:ascii="Times New Roman" w:eastAsia="Times New Roman" w:hAnsi="Times New Roman" w:cs="Times New Roman"/>
                <w:sz w:val="24"/>
                <w:szCs w:val="24"/>
              </w:rPr>
              <w:t>Noorte puude ebarahuldava kasvu ja hukkumise põhjused</w:t>
            </w:r>
          </w:p>
          <w:p w14:paraId="570F3B82" w14:textId="77777777" w:rsidR="00195626" w:rsidRDefault="00195626" w:rsidP="0019562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ADE36" w14:textId="77777777" w:rsidR="00195626" w:rsidRPr="00195626" w:rsidRDefault="00195626" w:rsidP="0019562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BC4B6" w14:textId="77777777" w:rsidR="00407C30" w:rsidRPr="00407C30" w:rsidRDefault="00407C30" w:rsidP="00407C3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Praktiline õpe</w:t>
            </w:r>
          </w:p>
          <w:p w14:paraId="5E166723" w14:textId="77777777" w:rsidR="00DD3327" w:rsidRPr="0026247F" w:rsidRDefault="00DD3327" w:rsidP="00DD3327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Praktilised istutuse ja </w:t>
            </w:r>
            <w:proofErr w:type="spellStart"/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>järelhoolduse</w:t>
            </w:r>
            <w:proofErr w:type="spellEnd"/>
            <w:r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tööd</w:t>
            </w:r>
          </w:p>
          <w:p w14:paraId="1C7F8E92" w14:textId="116A42B3" w:rsidR="00DD3327" w:rsidRDefault="0026247F" w:rsidP="0026247F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7F">
              <w:rPr>
                <w:rFonts w:ascii="Times New Roman" w:eastAsia="Times New Roman" w:hAnsi="Times New Roman" w:cs="Times New Roman"/>
                <w:sz w:val="24"/>
                <w:szCs w:val="24"/>
              </w:rPr>
              <w:t>Õppekäik</w:t>
            </w:r>
            <w:r w:rsidR="00DD3327" w:rsidRPr="0019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51AC">
              <w:rPr>
                <w:rFonts w:ascii="Times New Roman" w:eastAsia="Times New Roman" w:hAnsi="Times New Roman" w:cs="Times New Roman"/>
                <w:sz w:val="24"/>
                <w:szCs w:val="24"/>
              </w:rPr>
              <w:t>linnakeskkonnas.</w:t>
            </w:r>
          </w:p>
          <w:p w14:paraId="648D3D3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37B4C" w14:textId="388A64AF" w:rsidR="00E84B76" w:rsidRDefault="00D13B43" w:rsidP="00386D3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Kaasaegsed klassiruumid õppeks vajaliku </w:t>
            </w:r>
            <w:r w:rsidR="00964651">
              <w:rPr>
                <w:rFonts w:ascii="Times New Roman" w:eastAsia="Times New Roman" w:hAnsi="Times New Roman" w:cs="Times New Roman"/>
                <w:sz w:val="24"/>
                <w:szCs w:val="24"/>
              </w:rPr>
              <w:t>esitlus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tehnikaga,</w:t>
            </w:r>
            <w:r w:rsidR="00875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toimub 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 </w:t>
            </w:r>
            <w:r w:rsidR="00875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pargis ja </w:t>
            </w:r>
            <w:r w:rsid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puukool</w:t>
            </w:r>
            <w:r w:rsidR="00875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is. Õppevahendid on 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istutusvahendid, 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õppekäigu</w:t>
            </w:r>
            <w:r w:rsidR="0096465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s kooli buss</w:t>
            </w:r>
            <w:r w:rsid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6390A528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97882E0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6F4172DC" w14:textId="77777777" w:rsidR="00C12CD9" w:rsidRPr="00C12CD9" w:rsidRDefault="00C12C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>Osalemine vähemalt 70% kontakttundides.</w:t>
            </w:r>
          </w:p>
          <w:p w14:paraId="3CE0578F" w14:textId="00F11B0E" w:rsidR="001D53DC" w:rsidRDefault="00C12C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</w:t>
            </w:r>
            <w:r w:rsidR="00AA6F59">
              <w:rPr>
                <w:rFonts w:ascii="Times New Roman" w:eastAsia="Times New Roman" w:hAnsi="Times New Roman" w:cs="Times New Roman"/>
                <w:sz w:val="24"/>
                <w:szCs w:val="24"/>
              </w:rPr>
              <w:t>ite saavutamist</w:t>
            </w:r>
            <w:r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hinnatakse </w:t>
            </w:r>
            <w:r w:rsid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praktilise tööga, mis seisneb puu </w:t>
            </w:r>
            <w:r w:rsid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istutamise ja </w:t>
            </w:r>
            <w:proofErr w:type="spellStart"/>
            <w:r w:rsidR="00386D30">
              <w:rPr>
                <w:rFonts w:ascii="Times New Roman" w:eastAsia="Times New Roman" w:hAnsi="Times New Roman" w:cs="Times New Roman"/>
                <w:sz w:val="24"/>
                <w:szCs w:val="24"/>
              </w:rPr>
              <w:t>järelhoolduse</w:t>
            </w:r>
            <w:proofErr w:type="spellEnd"/>
            <w:r w:rsid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läbiviimises või selle simulatsioonis</w:t>
            </w:r>
            <w:r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>. Hinnatakse mitteeristavalt.</w:t>
            </w:r>
          </w:p>
          <w:p w14:paraId="058BE9A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F1CCD6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14C3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CEEB8FE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FD5218E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E754D68" w14:textId="06933D90" w:rsidR="001D53DC" w:rsidRDefault="005228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Marje Kask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A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Luua Metsanduskooli </w:t>
            </w:r>
            <w:proofErr w:type="spellStart"/>
            <w:r w:rsidR="00AA6F59">
              <w:rPr>
                <w:rFonts w:ascii="Times New Roman" w:eastAsia="Times New Roman" w:hAnsi="Times New Roman" w:cs="Times New Roman"/>
                <w:sz w:val="24"/>
                <w:szCs w:val="24"/>
              </w:rPr>
              <w:t>arboristiõppe</w:t>
            </w:r>
            <w:proofErr w:type="spellEnd"/>
            <w:r w:rsidR="00AA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koordinaator,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etsanduse ja aianduse kutseõpetaja alates 1995. </w:t>
            </w:r>
          </w:p>
          <w:p w14:paraId="65275C55" w14:textId="7A18EB00" w:rsidR="00802CCB" w:rsidRDefault="00802CCB" w:rsidP="00434E18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Aino Mölder</w:t>
            </w:r>
            <w:r w:rsidRPr="00A0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0016A" w:rsidRPr="00A0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0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Luua Metsanduskooli meisterõpetaja</w:t>
            </w:r>
            <w:r w:rsidR="00A0016A" w:rsidRPr="00A0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016A" w:rsidRPr="00A0016A">
              <w:rPr>
                <w:rFonts w:ascii="Times New Roman" w:eastAsia="Times New Roman" w:hAnsi="Times New Roman" w:cs="Times New Roman"/>
                <w:sz w:val="24"/>
                <w:szCs w:val="24"/>
              </w:rPr>
              <w:t>arboristide</w:t>
            </w:r>
            <w:proofErr w:type="spellEnd"/>
            <w:r w:rsidR="00A0016A" w:rsidRPr="00A0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koolitaja alates 2007.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320E02A5" w14:textId="304C8702" w:rsidR="0024320B" w:rsidRDefault="00386D3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Eva-Kadri Rossner</w:t>
            </w:r>
            <w:r w:rsidR="0024320B" w:rsidRPr="00B5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24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700"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Metsanduskooli maastikuehituse õpetaja</w:t>
            </w:r>
            <w:r w:rsidR="00B5069F">
              <w:rPr>
                <w:rFonts w:ascii="Times New Roman" w:eastAsia="Times New Roman" w:hAnsi="Times New Roman" w:cs="Times New Roman"/>
                <w:sz w:val="24"/>
                <w:szCs w:val="24"/>
              </w:rPr>
              <w:t>, pikaaegne praktiline kogemus linnahaljastuse valdkonnas.</w:t>
            </w:r>
          </w:p>
          <w:p w14:paraId="5E883EA5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D81D74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3BB78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D567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A0C0E" w14:textId="77777777" w:rsidR="00C12CD9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</w:p>
    <w:p w14:paraId="50DD8193" w14:textId="77777777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14:paraId="5CC0D46B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6CA1FBEA" w14:textId="77777777" w:rsidR="00112107" w:rsidRPr="00112107" w:rsidRDefault="00112107" w:rsidP="0011210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12107">
        <w:rPr>
          <w:rFonts w:ascii="Times New Roman" w:eastAsia="Arial" w:hAnsi="Times New Roman" w:cs="Times New Roman"/>
          <w:sz w:val="24"/>
          <w:szCs w:val="24"/>
        </w:rPr>
        <w:t xml:space="preserve">Marje Kask, </w:t>
      </w:r>
      <w:proofErr w:type="spellStart"/>
      <w:r w:rsidR="0024320B">
        <w:rPr>
          <w:rFonts w:ascii="Times New Roman" w:eastAsia="Arial" w:hAnsi="Times New Roman" w:cs="Times New Roman"/>
          <w:sz w:val="24"/>
          <w:szCs w:val="24"/>
        </w:rPr>
        <w:t>Arboristiõppe</w:t>
      </w:r>
      <w:proofErr w:type="spellEnd"/>
      <w:r w:rsidR="0024320B">
        <w:rPr>
          <w:rFonts w:ascii="Times New Roman" w:eastAsia="Arial" w:hAnsi="Times New Roman" w:cs="Times New Roman"/>
          <w:sz w:val="24"/>
          <w:szCs w:val="24"/>
        </w:rPr>
        <w:t xml:space="preserve"> koordinaator</w:t>
      </w:r>
      <w:r w:rsidRPr="00112107">
        <w:rPr>
          <w:rFonts w:ascii="Times New Roman" w:eastAsia="Arial" w:hAnsi="Times New Roman" w:cs="Times New Roman"/>
          <w:sz w:val="24"/>
          <w:szCs w:val="24"/>
        </w:rPr>
        <w:t>, marje.kask@luua.ee</w:t>
      </w:r>
    </w:p>
    <w:sectPr w:rsidR="00112107" w:rsidRPr="00112107" w:rsidSect="00B92026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53EF" w14:textId="77777777" w:rsidR="002B0470" w:rsidRDefault="002B0470">
      <w:pPr>
        <w:spacing w:after="0" w:line="240" w:lineRule="auto"/>
      </w:pPr>
      <w:r>
        <w:separator/>
      </w:r>
    </w:p>
  </w:endnote>
  <w:endnote w:type="continuationSeparator" w:id="0">
    <w:p w14:paraId="4ADCF83A" w14:textId="77777777" w:rsidR="002B0470" w:rsidRDefault="002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79A5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5CCD" w14:textId="77777777" w:rsidR="002B0470" w:rsidRDefault="002B0470">
      <w:pPr>
        <w:spacing w:after="0" w:line="240" w:lineRule="auto"/>
      </w:pPr>
      <w:r>
        <w:separator/>
      </w:r>
    </w:p>
  </w:footnote>
  <w:footnote w:type="continuationSeparator" w:id="0">
    <w:p w14:paraId="44B13A18" w14:textId="77777777" w:rsidR="002B0470" w:rsidRDefault="002B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86A2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724E6EFC" wp14:editId="4604A54B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3B461B44" wp14:editId="0B90E48F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FFAE9F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7CCC"/>
    <w:multiLevelType w:val="hybridMultilevel"/>
    <w:tmpl w:val="E26E3AE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D518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709C1"/>
    <w:multiLevelType w:val="hybridMultilevel"/>
    <w:tmpl w:val="E976E6A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872DC"/>
    <w:multiLevelType w:val="multilevel"/>
    <w:tmpl w:val="55E21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716"/>
    <w:multiLevelType w:val="hybridMultilevel"/>
    <w:tmpl w:val="1D0251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951D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C2210"/>
    <w:multiLevelType w:val="multilevel"/>
    <w:tmpl w:val="F2B22B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915044"/>
    <w:multiLevelType w:val="hybridMultilevel"/>
    <w:tmpl w:val="252205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E7F3E"/>
    <w:multiLevelType w:val="hybridMultilevel"/>
    <w:tmpl w:val="8E024F6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A141D0"/>
    <w:multiLevelType w:val="hybridMultilevel"/>
    <w:tmpl w:val="2F84323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0462"/>
    <w:multiLevelType w:val="hybridMultilevel"/>
    <w:tmpl w:val="B55ABE6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7FAF"/>
    <w:multiLevelType w:val="hybridMultilevel"/>
    <w:tmpl w:val="464654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7A06"/>
    <w:multiLevelType w:val="hybridMultilevel"/>
    <w:tmpl w:val="1E2ABA9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89145B"/>
    <w:multiLevelType w:val="hybridMultilevel"/>
    <w:tmpl w:val="E9A60D0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340A6"/>
    <w:rsid w:val="000A736E"/>
    <w:rsid w:val="000B7031"/>
    <w:rsid w:val="000C46AB"/>
    <w:rsid w:val="00112107"/>
    <w:rsid w:val="001410BC"/>
    <w:rsid w:val="00146A19"/>
    <w:rsid w:val="001779B5"/>
    <w:rsid w:val="00185321"/>
    <w:rsid w:val="00195626"/>
    <w:rsid w:val="001D53DC"/>
    <w:rsid w:val="00210702"/>
    <w:rsid w:val="002350A9"/>
    <w:rsid w:val="0024320B"/>
    <w:rsid w:val="0026247F"/>
    <w:rsid w:val="00265BF5"/>
    <w:rsid w:val="002B0470"/>
    <w:rsid w:val="0030178A"/>
    <w:rsid w:val="0032218B"/>
    <w:rsid w:val="003333BC"/>
    <w:rsid w:val="00386D30"/>
    <w:rsid w:val="00393704"/>
    <w:rsid w:val="003F1334"/>
    <w:rsid w:val="003F4EBC"/>
    <w:rsid w:val="00407C30"/>
    <w:rsid w:val="004113E8"/>
    <w:rsid w:val="00434E18"/>
    <w:rsid w:val="004804E0"/>
    <w:rsid w:val="00492738"/>
    <w:rsid w:val="004E295D"/>
    <w:rsid w:val="004E6D73"/>
    <w:rsid w:val="005228D8"/>
    <w:rsid w:val="00526C9F"/>
    <w:rsid w:val="00542B7B"/>
    <w:rsid w:val="00553CF9"/>
    <w:rsid w:val="00563130"/>
    <w:rsid w:val="00625D4A"/>
    <w:rsid w:val="006622B6"/>
    <w:rsid w:val="00693415"/>
    <w:rsid w:val="006B6115"/>
    <w:rsid w:val="006C37BA"/>
    <w:rsid w:val="006D60A1"/>
    <w:rsid w:val="006F4060"/>
    <w:rsid w:val="006F4160"/>
    <w:rsid w:val="0072171D"/>
    <w:rsid w:val="00786810"/>
    <w:rsid w:val="00802CCB"/>
    <w:rsid w:val="008550FF"/>
    <w:rsid w:val="008666F7"/>
    <w:rsid w:val="008751AC"/>
    <w:rsid w:val="008C62B1"/>
    <w:rsid w:val="00964651"/>
    <w:rsid w:val="00982BE9"/>
    <w:rsid w:val="0099355C"/>
    <w:rsid w:val="009A7DA4"/>
    <w:rsid w:val="009F0B2A"/>
    <w:rsid w:val="00A0016A"/>
    <w:rsid w:val="00A2569A"/>
    <w:rsid w:val="00A54B97"/>
    <w:rsid w:val="00A55733"/>
    <w:rsid w:val="00AA6F59"/>
    <w:rsid w:val="00AC6FF2"/>
    <w:rsid w:val="00B4040C"/>
    <w:rsid w:val="00B5069F"/>
    <w:rsid w:val="00B6097C"/>
    <w:rsid w:val="00B7256C"/>
    <w:rsid w:val="00B7502F"/>
    <w:rsid w:val="00B84B33"/>
    <w:rsid w:val="00B92026"/>
    <w:rsid w:val="00B96A35"/>
    <w:rsid w:val="00BB7448"/>
    <w:rsid w:val="00C12CD9"/>
    <w:rsid w:val="00C64AF4"/>
    <w:rsid w:val="00D13B43"/>
    <w:rsid w:val="00D2598F"/>
    <w:rsid w:val="00DD3327"/>
    <w:rsid w:val="00DE0700"/>
    <w:rsid w:val="00E06E8D"/>
    <w:rsid w:val="00E13F7C"/>
    <w:rsid w:val="00E51F47"/>
    <w:rsid w:val="00E80F08"/>
    <w:rsid w:val="00E84B76"/>
    <w:rsid w:val="00E91947"/>
    <w:rsid w:val="00ED6CF8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C7F0"/>
  <w15:docId w15:val="{8B4C76A2-1753-4690-BF9D-5F7A3B00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rsid w:val="00B92026"/>
  </w:style>
  <w:style w:type="paragraph" w:styleId="Pealkiri1">
    <w:name w:val="heading 1"/>
    <w:basedOn w:val="Normaallaad"/>
    <w:next w:val="Normaallaad"/>
    <w:rsid w:val="00B92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rsid w:val="00B92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rsid w:val="00B92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rsid w:val="00B92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rsid w:val="00B92026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rsid w:val="00B92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rsid w:val="00B920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rsid w:val="00B92026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rsid w:val="00B920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9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9355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6D6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vatabel21">
    <w:name w:val="Tavatabel 21"/>
    <w:basedOn w:val="Normaaltabel"/>
    <w:uiPriority w:val="42"/>
    <w:rsid w:val="000C46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allaad"/>
    <w:uiPriority w:val="1"/>
    <w:qFormat/>
    <w:rsid w:val="000C46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 xsi:nil="true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6" ma:contentTypeDescription="Loo uus dokument" ma:contentTypeScope="" ma:versionID="4e47a772e52cd420602564e81e885a1e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834c2904aee3af16e3dd8bccbd7d36cb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D0F7C-F5F9-4215-A8BE-8131E1F8EA5A}">
  <ds:schemaRefs>
    <ds:schemaRef ds:uri="http://schemas.microsoft.com/office/2006/metadata/properties"/>
    <ds:schemaRef ds:uri="http://schemas.microsoft.com/office/infopath/2007/PartnerControls"/>
    <ds:schemaRef ds:uri="7d2c81c1-fa71-4ebd-bb35-b635fee8b68f"/>
    <ds:schemaRef ds:uri="f9e605ff-bd3d-4878-9e30-75b5f7ab043b"/>
  </ds:schemaRefs>
</ds:datastoreItem>
</file>

<file path=customXml/itemProps2.xml><?xml version="1.0" encoding="utf-8"?>
<ds:datastoreItem xmlns:ds="http://schemas.openxmlformats.org/officeDocument/2006/customXml" ds:itemID="{1139D72D-D7D9-460C-A109-D1DE4A74F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6FA34-C13D-4DDF-B4A0-7DA81BE40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842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Aino Haller</dc:creator>
  <cp:lastModifiedBy>Kairit Reiman</cp:lastModifiedBy>
  <cp:revision>11</cp:revision>
  <cp:lastPrinted>2019-10-07T07:37:00Z</cp:lastPrinted>
  <dcterms:created xsi:type="dcterms:W3CDTF">2019-10-07T07:38:00Z</dcterms:created>
  <dcterms:modified xsi:type="dcterms:W3CDTF">2022-06-09T15:21:00Z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