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76E79B3D" w:rsidR="001D53DC" w:rsidRPr="001C05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Metsakasvatuse alused</w:t>
            </w:r>
            <w:r w:rsidR="00D40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00142612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1DF7A1" w14:textId="1623BC3F" w:rsidR="0097587A" w:rsidRDefault="005414B7" w:rsidP="7D6A7185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Koolitusele on oodatud erialase hariduseta </w:t>
            </w:r>
            <w:r w:rsidR="0097587A" w:rsidRPr="7D6A71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täiskasvanud, kes majandavad ja haldavad metsi või </w:t>
            </w:r>
            <w:r w:rsidR="445B056E" w:rsidRPr="7D6A71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planeerivad seda teha karjäärimuutuse tõttu.</w:t>
            </w:r>
          </w:p>
          <w:p w14:paraId="57BA6963" w14:textId="3D6438BC" w:rsidR="00ED4D6E" w:rsidRPr="00702A12" w:rsidRDefault="00526C9F" w:rsidP="7D6A7185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Grupi suurus:</w:t>
            </w:r>
            <w:r w:rsidR="00ED4D6E" w:rsidRPr="7D6A7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5B7CFE2A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261B05DA" w14:textId="07972DE5" w:rsidR="001D53DC" w:rsidRDefault="00D13B43" w:rsidP="0097587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75BC32D1" w14:textId="74DABEBF" w:rsidR="001D53DC" w:rsidRDefault="29B5AF1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Soovitavalt 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eelnev praktiline kogemus metsakasvatustöödel</w:t>
            </w:r>
            <w:r w:rsidR="0097587A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F665B9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6B2C0CA" w14:textId="77777777" w:rsidTr="7D6A7185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7808C39D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A31DE" w14:textId="657607EA" w:rsidR="00327BEE" w:rsidRPr="005414B7" w:rsidRDefault="005414B7" w:rsidP="005414B7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5414B7">
              <w:rPr>
                <w:rFonts w:ascii="Times New Roman" w:eastAsia="Times New Roman" w:hAnsi="Times New Roman" w:cs="Times New Roman"/>
                <w:sz w:val="24"/>
                <w:szCs w:val="24"/>
              </w:rPr>
              <w:t>eostab puuliike ja kasvukohatüüpe erinevates puistu arenguklassides;</w:t>
            </w:r>
          </w:p>
          <w:p w14:paraId="1E46C96B" w14:textId="5A2489DF" w:rsidR="008962C5" w:rsidRDefault="005414B7" w:rsidP="005414B7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962C5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irjeldab metsa uuendamise ja uuenemise erinevusi;</w:t>
            </w:r>
          </w:p>
          <w:p w14:paraId="5268DB05" w14:textId="2DCE3181" w:rsidR="008962C5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õistab hooldusraiete vajadust ja seostab erinevaid hooldusmeetmeid puistu arengu ja bioloogilise eripäraga;</w:t>
            </w:r>
          </w:p>
          <w:p w14:paraId="23E216DA" w14:textId="6D1F6EAB" w:rsidR="008962C5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8962C5">
              <w:rPr>
                <w:rFonts w:ascii="Times New Roman" w:eastAsia="Times New Roman" w:hAnsi="Times New Roman" w:cs="Times New Roman"/>
                <w:sz w:val="24"/>
                <w:szCs w:val="24"/>
              </w:rPr>
              <w:t>elgitab erinevate raiete vajalikkust ja seostab uuendusraieid metsa uuendamisega;</w:t>
            </w:r>
          </w:p>
          <w:p w14:paraId="1336BBE1" w14:textId="7F3A4588" w:rsidR="005414B7" w:rsidRDefault="005414B7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asutab info</w:t>
            </w:r>
            <w:r w:rsidR="008962C5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allikana kehtivaid metsanduslik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 õigusakte tö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öde planeerimisel ja läbiviimisel;</w:t>
            </w:r>
            <w:r w:rsidR="00ED4D6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35BFEC" w14:textId="625A3BF6" w:rsidR="0030178A" w:rsidRDefault="00ED4D6E" w:rsidP="005414B7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tunneb metsanduslikke riist-ja tarkvaralahendusi</w:t>
            </w:r>
            <w:r w:rsidR="6A6DF553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isesei</w:t>
            </w:r>
            <w:r w:rsidR="005414B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6A6DF553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va kasutaja tasemel.</w:t>
            </w: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6BF60" w14:textId="4472DEE1" w:rsidR="001D53DC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Metsanduskooli „Metsakasvatuse</w:t>
            </w: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>“ õppekava, moodul nr 3 ja moodul nr 5</w:t>
            </w:r>
          </w:p>
          <w:p w14:paraId="66C8798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7D6A7185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07EFC76A" w14:textId="6230FE21" w:rsidR="0097587A" w:rsidRPr="00982B1D" w:rsidRDefault="005414B7" w:rsidP="009758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OSKA </w:t>
            </w:r>
            <w:r w:rsidR="0097587A">
              <w:rPr>
                <w:rFonts w:ascii="Times New Roman" w:eastAsia="Times New Roman" w:hAnsi="Times New Roman" w:cs="Times New Roman"/>
                <w:bCs/>
              </w:rPr>
              <w:t>raporti kohas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elt jääb metsanduse valdkonnas </w:t>
            </w:r>
            <w:r w:rsidR="0097587A">
              <w:rPr>
                <w:rFonts w:ascii="Times New Roman" w:eastAsia="Times New Roman" w:hAnsi="Times New Roman" w:cs="Times New Roman"/>
                <w:bCs/>
              </w:rPr>
              <w:t xml:space="preserve">keskastme spetsialistidel puudu </w:t>
            </w:r>
            <w:r w:rsidR="0097587A" w:rsidRPr="00982B1D">
              <w:rPr>
                <w:rFonts w:ascii="Times New Roman" w:eastAsia="Times New Roman" w:hAnsi="Times New Roman" w:cs="Times New Roman"/>
                <w:bCs/>
              </w:rPr>
              <w:t>üldistest metsanduslikest teadmistest ja puistu arengu erinevate alternatiivide arvestamisest erinevate majandamisvõtete korra</w:t>
            </w:r>
            <w:r w:rsidR="0097587A">
              <w:rPr>
                <w:rFonts w:ascii="Times New Roman" w:eastAsia="Times New Roman" w:hAnsi="Times New Roman" w:cs="Times New Roman"/>
                <w:bCs/>
              </w:rPr>
              <w:t>l.</w:t>
            </w:r>
          </w:p>
          <w:p w14:paraId="14C1E3A5" w14:textId="4B254F7D" w:rsidR="0097587A" w:rsidRDefault="00D40629" w:rsidP="0097587A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Eelnevat arvesse võttes on k</w:t>
            </w:r>
            <w:r w:rsidR="0097587A" w:rsidRPr="00D96A30">
              <w:rPr>
                <w:rFonts w:ascii="Times New Roman" w:eastAsia="Times New Roman" w:hAnsi="Times New Roman" w:cs="Times New Roman"/>
                <w:bCs/>
              </w:rPr>
              <w:t xml:space="preserve">oolituse eesmärgiks tõsta metsade majandamisega seotud täiskasvanute teadlikust nii metsade majandamisel kui ka teenuse osutamisel. </w:t>
            </w:r>
          </w:p>
          <w:p w14:paraId="6D4700A0" w14:textId="51A77B59" w:rsidR="0097587A" w:rsidRDefault="00ED4D6E" w:rsidP="7D6A7185">
            <w:pPr>
              <w:widowControl w:val="0"/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7D6A7185">
              <w:rPr>
                <w:rFonts w:ascii="Times New Roman" w:eastAsia="Times New Roman" w:hAnsi="Times New Roman" w:cs="Times New Roman"/>
              </w:rPr>
              <w:t xml:space="preserve">Lisaks märgib OSKA, et metsanduse valdkonnas  on vajadus töötajate asendamiseks või täiendus- ja ümberõppe võimalusteks suur, sest töötavate inimeste keskmine vanus on kõrge ning tehnoloogia areng tingib lihttööde asendamise automaatsete süsteemidega. </w:t>
            </w:r>
          </w:p>
          <w:p w14:paraId="505BAB73" w14:textId="7F8A75A0" w:rsidR="00D40629" w:rsidRDefault="0097587A" w:rsidP="7D6A71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7D6A7185">
              <w:rPr>
                <w:rFonts w:ascii="Times New Roman" w:eastAsia="Times New Roman" w:hAnsi="Times New Roman" w:cs="Times New Roman"/>
              </w:rPr>
              <w:t>Uuringute järgi on metsandu</w:t>
            </w:r>
            <w:r w:rsidR="005414B7">
              <w:rPr>
                <w:rFonts w:ascii="Times New Roman" w:eastAsia="Times New Roman" w:hAnsi="Times New Roman" w:cs="Times New Roman"/>
              </w:rPr>
              <w:t>ses umbes pooltel töötajatest</w:t>
            </w:r>
            <w:r w:rsidRPr="7D6A7185">
              <w:rPr>
                <w:rFonts w:ascii="Times New Roman" w:eastAsia="Times New Roman" w:hAnsi="Times New Roman" w:cs="Times New Roman"/>
              </w:rPr>
              <w:t xml:space="preserve"> kutseharidus, kuid paljud on piirdunud üldkesk- või madalama haridusega. R</w:t>
            </w:r>
            <w:r w:rsidR="266ADE02" w:rsidRPr="7D6A7185">
              <w:rPr>
                <w:rFonts w:ascii="Times New Roman" w:eastAsia="Times New Roman" w:hAnsi="Times New Roman" w:cs="Times New Roman"/>
              </w:rPr>
              <w:t>iigimetsa Majandamise Keskuse</w:t>
            </w:r>
            <w:r w:rsidRPr="7D6A7185">
              <w:rPr>
                <w:rFonts w:ascii="Times New Roman" w:eastAsia="Times New Roman" w:hAnsi="Times New Roman" w:cs="Times New Roman"/>
              </w:rPr>
              <w:t xml:space="preserve"> </w:t>
            </w:r>
            <w:r w:rsidR="12064B41" w:rsidRPr="7D6A7185">
              <w:rPr>
                <w:rFonts w:ascii="Times New Roman" w:eastAsia="Times New Roman" w:hAnsi="Times New Roman" w:cs="Times New Roman"/>
              </w:rPr>
              <w:t>alltöövõtuks</w:t>
            </w:r>
            <w:r w:rsidR="005414B7">
              <w:rPr>
                <w:rFonts w:ascii="Times New Roman" w:eastAsia="Times New Roman" w:hAnsi="Times New Roman" w:cs="Times New Roman"/>
              </w:rPr>
              <w:t xml:space="preserve"> on vajalik Raietööline, </w:t>
            </w:r>
            <w:r w:rsidRPr="7D6A7185">
              <w:rPr>
                <w:rFonts w:ascii="Times New Roman" w:eastAsia="Times New Roman" w:hAnsi="Times New Roman" w:cs="Times New Roman"/>
              </w:rPr>
              <w:t>tase</w:t>
            </w:r>
            <w:r w:rsidR="005414B7">
              <w:rPr>
                <w:rFonts w:ascii="Times New Roman" w:eastAsia="Times New Roman" w:hAnsi="Times New Roman" w:cs="Times New Roman"/>
              </w:rPr>
              <w:t xml:space="preserve"> 3</w:t>
            </w:r>
            <w:r w:rsidRPr="7D6A7185">
              <w:rPr>
                <w:rFonts w:ascii="Times New Roman" w:eastAsia="Times New Roman" w:hAnsi="Times New Roman" w:cs="Times New Roman"/>
              </w:rPr>
              <w:t xml:space="preserve"> või Metsur, </w:t>
            </w:r>
            <w:r w:rsidR="005414B7">
              <w:rPr>
                <w:rFonts w:ascii="Times New Roman" w:eastAsia="Times New Roman" w:hAnsi="Times New Roman" w:cs="Times New Roman"/>
              </w:rPr>
              <w:t>tase 4</w:t>
            </w:r>
            <w:r w:rsidRPr="7D6A7185">
              <w:rPr>
                <w:rFonts w:ascii="Times New Roman" w:eastAsia="Times New Roman" w:hAnsi="Times New Roman" w:cs="Times New Roman"/>
              </w:rPr>
              <w:t xml:space="preserve"> kutsetunnistus.</w:t>
            </w:r>
            <w:r w:rsidR="00D40629" w:rsidRPr="7D6A7185">
              <w:rPr>
                <w:rFonts w:ascii="Times New Roman" w:eastAsia="Times New Roman" w:hAnsi="Times New Roman" w:cs="Times New Roman"/>
              </w:rPr>
              <w:t xml:space="preserve"> Käesoleva kursuse läbimine suurendab oluliselt võimalust kutseeksam positiivselt sooritada.</w:t>
            </w:r>
            <w:r w:rsidR="1C698172" w:rsidRPr="7D6A7185">
              <w:rPr>
                <w:rFonts w:ascii="Times New Roman" w:eastAsia="Times New Roman" w:hAnsi="Times New Roman" w:cs="Times New Roman"/>
              </w:rPr>
              <w:t xml:space="preserve"> </w:t>
            </w:r>
            <w:r w:rsidR="00D40629" w:rsidRPr="7D6A7185">
              <w:rPr>
                <w:rFonts w:ascii="Times New Roman" w:eastAsia="Times New Roman" w:hAnsi="Times New Roman" w:cs="Times New Roman"/>
              </w:rPr>
              <w:t>Koolitus „ Metsakasvatuse alused“ on väga nõutud kursus</w:t>
            </w:r>
            <w:r w:rsidR="005414B7">
              <w:rPr>
                <w:rFonts w:ascii="Times New Roman" w:eastAsia="Times New Roman" w:hAnsi="Times New Roman" w:cs="Times New Roman"/>
              </w:rPr>
              <w:t xml:space="preserve"> nii</w:t>
            </w:r>
            <w:r w:rsidR="198FE8AF" w:rsidRPr="7D6A7185">
              <w:rPr>
                <w:rFonts w:ascii="Times New Roman" w:eastAsia="Times New Roman" w:hAnsi="Times New Roman" w:cs="Times New Roman"/>
              </w:rPr>
              <w:t xml:space="preserve"> metsanduse valdkonnas töö</w:t>
            </w:r>
            <w:r w:rsidR="005414B7">
              <w:rPr>
                <w:rFonts w:ascii="Times New Roman" w:eastAsia="Times New Roman" w:hAnsi="Times New Roman" w:cs="Times New Roman"/>
              </w:rPr>
              <w:t>tavate kui ka karjääripöörajate</w:t>
            </w:r>
            <w:r w:rsidR="198FE8AF" w:rsidRPr="7D6A7185">
              <w:rPr>
                <w:rFonts w:ascii="Times New Roman" w:eastAsia="Times New Roman" w:hAnsi="Times New Roman" w:cs="Times New Roman"/>
              </w:rPr>
              <w:t xml:space="preserve"> hulgas</w:t>
            </w:r>
            <w:r w:rsidR="00D40629" w:rsidRPr="7D6A7185">
              <w:rPr>
                <w:rFonts w:ascii="Times New Roman" w:eastAsia="Times New Roman" w:hAnsi="Times New Roman" w:cs="Times New Roman"/>
              </w:rPr>
              <w:t xml:space="preserve"> ja tagasiside osalejatelt</w:t>
            </w:r>
            <w:r w:rsidR="005414B7">
              <w:rPr>
                <w:rFonts w:ascii="Times New Roman" w:eastAsia="Times New Roman" w:hAnsi="Times New Roman" w:cs="Times New Roman"/>
              </w:rPr>
              <w:t xml:space="preserve"> on</w:t>
            </w:r>
            <w:r w:rsidR="00D40629" w:rsidRPr="7D6A7185">
              <w:rPr>
                <w:rFonts w:ascii="Times New Roman" w:eastAsia="Times New Roman" w:hAnsi="Times New Roman" w:cs="Times New Roman"/>
              </w:rPr>
              <w:t xml:space="preserve"> 100% positiivne.</w:t>
            </w:r>
          </w:p>
          <w:p w14:paraId="2A849FD6" w14:textId="00FFED64" w:rsidR="0097587A" w:rsidRDefault="31B2A4C2" w:rsidP="7D6A71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7D6A7185">
              <w:rPr>
                <w:rFonts w:ascii="Times New Roman" w:eastAsia="Times New Roman" w:hAnsi="Times New Roman" w:cs="Times New Roman"/>
              </w:rPr>
              <w:t>Lisaks metsanduslikele teadmistele annab koolitus digioskusi, mis on vajalikud metsanduslike tarkvaralahendus</w:t>
            </w:r>
            <w:r w:rsidR="153279E6" w:rsidRPr="7D6A7185">
              <w:rPr>
                <w:rFonts w:ascii="Times New Roman" w:eastAsia="Times New Roman" w:hAnsi="Times New Roman" w:cs="Times New Roman"/>
              </w:rPr>
              <w:t xml:space="preserve">te kasutamisel. Ilma valdkondlike IKT-oskusteta ei ole tänapäeval metsakasvatus ja haldamine võimalik. Kahjuks on </w:t>
            </w:r>
            <w:r w:rsidR="3B4569CB" w:rsidRPr="7D6A7185">
              <w:rPr>
                <w:rFonts w:ascii="Times New Roman" w:eastAsia="Times New Roman" w:hAnsi="Times New Roman" w:cs="Times New Roman"/>
              </w:rPr>
              <w:t xml:space="preserve">OSKA analüüsist valdkondlike IKT-oskuste vajadustest kohta ja koolituste korraldamise kogemusest lähtuvalt </w:t>
            </w:r>
            <w:r w:rsidR="4DF4FAD5" w:rsidRPr="7D6A7185">
              <w:rPr>
                <w:rFonts w:ascii="Times New Roman" w:eastAsia="Times New Roman" w:hAnsi="Times New Roman" w:cs="Times New Roman"/>
              </w:rPr>
              <w:t xml:space="preserve">selge, </w:t>
            </w:r>
            <w:r w:rsidR="3B4569CB" w:rsidRPr="7D6A7185">
              <w:rPr>
                <w:rFonts w:ascii="Times New Roman" w:eastAsia="Times New Roman" w:hAnsi="Times New Roman" w:cs="Times New Roman"/>
              </w:rPr>
              <w:t xml:space="preserve">et metsanduse valdkonnas </w:t>
            </w:r>
            <w:r w:rsidR="6DA15456" w:rsidRPr="7D6A7185">
              <w:rPr>
                <w:rFonts w:ascii="Times New Roman" w:eastAsia="Times New Roman" w:hAnsi="Times New Roman" w:cs="Times New Roman"/>
              </w:rPr>
              <w:t xml:space="preserve">on inimestel kesised </w:t>
            </w:r>
            <w:r w:rsidR="3B4569CB" w:rsidRPr="7D6A7185">
              <w:rPr>
                <w:rFonts w:ascii="Times New Roman" w:eastAsia="Times New Roman" w:hAnsi="Times New Roman" w:cs="Times New Roman"/>
              </w:rPr>
              <w:t xml:space="preserve"> baasdigiosku</w:t>
            </w:r>
            <w:r w:rsidR="3E719870" w:rsidRPr="7D6A7185">
              <w:rPr>
                <w:rFonts w:ascii="Times New Roman" w:eastAsia="Times New Roman" w:hAnsi="Times New Roman" w:cs="Times New Roman"/>
              </w:rPr>
              <w:t xml:space="preserve">sed, eriti </w:t>
            </w:r>
            <w:r w:rsidR="3B4569CB" w:rsidRPr="7D6A7185">
              <w:rPr>
                <w:rFonts w:ascii="Times New Roman" w:eastAsia="Times New Roman" w:hAnsi="Times New Roman" w:cs="Times New Roman"/>
              </w:rPr>
              <w:t xml:space="preserve">iseseisva kasutaja tasemel. </w:t>
            </w:r>
            <w:r w:rsidR="429EFAFB" w:rsidRPr="7D6A7185">
              <w:rPr>
                <w:rFonts w:ascii="Times New Roman" w:eastAsia="Times New Roman" w:hAnsi="Times New Roman" w:cs="Times New Roman"/>
              </w:rPr>
              <w:t xml:space="preserve"> Koolituse eeliseks on suur ajaline maht (46h) ja väike osalejate arv (10), mis tagab võimaluse õpet diferentseerida ja seeläbi kõigi koolitus</w:t>
            </w:r>
            <w:r w:rsidR="4B3EC538" w:rsidRPr="7D6A7185">
              <w:rPr>
                <w:rFonts w:ascii="Times New Roman" w:eastAsia="Times New Roman" w:hAnsi="Times New Roman" w:cs="Times New Roman"/>
              </w:rPr>
              <w:t xml:space="preserve">el </w:t>
            </w:r>
            <w:r w:rsidR="00BA4AB2">
              <w:rPr>
                <w:rFonts w:ascii="Times New Roman" w:eastAsia="Times New Roman" w:hAnsi="Times New Roman" w:cs="Times New Roman"/>
              </w:rPr>
              <w:t>osalejateni j</w:t>
            </w:r>
            <w:r w:rsidR="4B3EC538" w:rsidRPr="7D6A7185">
              <w:rPr>
                <w:rFonts w:ascii="Times New Roman" w:eastAsia="Times New Roman" w:hAnsi="Times New Roman" w:cs="Times New Roman"/>
              </w:rPr>
              <w:t>õuda viisil, mis kindlustab õpiväljundite saavutamise.</w:t>
            </w: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46D2C1AB" w:rsidR="001D53DC" w:rsidRDefault="005414B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3698240E" w:rsidR="001D53DC" w:rsidRDefault="00D5699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304A082A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4299D5E6" w:rsidR="001D53DC" w:rsidRDefault="00D4062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7D6A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608DC501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39CB95D9" w14:textId="331F0B03" w:rsidR="001D53DC" w:rsidRPr="001B7139" w:rsidRDefault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Auditoorne õpe:</w:t>
            </w:r>
          </w:p>
          <w:p w14:paraId="25A2EF7F" w14:textId="463D12C1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issejuhatus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metsandusse;</w:t>
            </w:r>
          </w:p>
          <w:p w14:paraId="76CA9919" w14:textId="11D6B792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rialased mõisted ja terminid;</w:t>
            </w:r>
          </w:p>
          <w:p w14:paraId="55605C9A" w14:textId="5B73C266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lased õigusaktid;</w:t>
            </w:r>
          </w:p>
          <w:p w14:paraId="6CCD57FC" w14:textId="02F5B540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etsakasvatuslikud seosed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B548CC" w14:textId="273704D6" w:rsidR="00327BEE" w:rsidRPr="00D40629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etsade uuendamine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B68376" w14:textId="1D6DD43A" w:rsidR="00327BEE" w:rsidRDefault="00BA4AB2" w:rsidP="00D40629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27BEE" w:rsidRP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uistu tekkeviisid;</w:t>
            </w:r>
          </w:p>
          <w:p w14:paraId="49C4A3DE" w14:textId="04C13C25" w:rsidR="00ED4D6E" w:rsidRDefault="00BA4AB2" w:rsidP="7D6A7185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ED4D6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etsanduslik riist-ja tarkvara</w:t>
            </w:r>
            <w:r w:rsidR="4E558A65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(teooria ja tutvustus)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7244A7" w14:textId="77777777" w:rsidR="00D40629" w:rsidRDefault="00D40629" w:rsidP="00D40629">
            <w:pPr>
              <w:pStyle w:val="Loendilik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F484C" w14:textId="714B2BA7" w:rsidR="00D40629" w:rsidRPr="00D40629" w:rsidRDefault="00D40629" w:rsidP="00D4062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õpe:</w:t>
            </w:r>
          </w:p>
          <w:p w14:paraId="042D1CFB" w14:textId="77777777" w:rsidR="00BA4AB2" w:rsidRDefault="00BA4AB2" w:rsidP="00D4062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etsauuenduse hooldamisvajadus</w:t>
            </w:r>
            <w:r w:rsidR="00D4062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selle määramise meetodid</w:t>
            </w:r>
            <w:r w:rsidR="00327BEE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062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DE3F68" w14:textId="40C9858E" w:rsidR="00327BEE" w:rsidRPr="00D40629" w:rsidRDefault="00D40629" w:rsidP="00D40629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hooldus – ja uuendusraiete simulatsioon, juhtumianalüüsid</w:t>
            </w:r>
            <w:r w:rsidR="00BA4AB2">
              <w:rPr>
                <w:rFonts w:ascii="Times New Roman" w:eastAsia="Times New Roman" w:hAnsi="Times New Roman" w:cs="Times New Roman"/>
                <w:sz w:val="24"/>
                <w:szCs w:val="24"/>
              </w:rPr>
              <w:t>, praktilised harjutused metsas;</w:t>
            </w:r>
          </w:p>
          <w:p w14:paraId="7DBEBA66" w14:textId="0ABF5B2F" w:rsidR="2772B092" w:rsidRDefault="00BA4AB2" w:rsidP="7D6A7185">
            <w:pPr>
              <w:pStyle w:val="Loendilik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2772B092" w:rsidRPr="7D6A7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etsanduslikud nutirakendused ja GPS seadmed praktikas</w:t>
            </w:r>
          </w:p>
          <w:p w14:paraId="361FC831" w14:textId="37F9035C" w:rsidR="001D53DC" w:rsidRPr="001B7139" w:rsidRDefault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FBDB0" w14:textId="77777777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1A2D0A7E" w14:textId="77777777" w:rsidR="001D53DC" w:rsidRPr="001B7139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E0477" w14:textId="77777777" w:rsidR="00ED4D6E" w:rsidRDefault="00327BEE" w:rsidP="002D47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>asae</w:t>
            </w:r>
            <w:r w:rsidR="00ED4D6E">
              <w:rPr>
                <w:rFonts w:ascii="Times New Roman" w:eastAsia="Times New Roman" w:hAnsi="Times New Roman" w:cs="Times New Roman"/>
                <w:sz w:val="24"/>
                <w:szCs w:val="24"/>
              </w:rPr>
              <w:t>gne esitlustehnikaga klassiruum, tarkvarade tutvustus ja õpe toimub arvutiklassis, igale osalejale tagatud arvuti.</w:t>
            </w:r>
          </w:p>
          <w:p w14:paraId="4CF8397F" w14:textId="560DF24A" w:rsidR="001D53DC" w:rsidRPr="001B7139" w:rsidRDefault="00327BEE" w:rsidP="002D47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Praktiline õpe toimub </w:t>
            </w:r>
            <w:r w:rsidR="001B7139"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metsas erinevates puistutes.</w:t>
            </w:r>
            <w:r w:rsidR="00D4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Õppevahendid on metsanduslikud tööriistad, </w:t>
            </w:r>
            <w:r w:rsidR="006B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transport praktika asukohta kooli või tellitud bussiga. </w:t>
            </w:r>
          </w:p>
        </w:tc>
      </w:tr>
      <w:tr w:rsidR="001D53DC" w14:paraId="6F2FB959" w14:textId="77777777" w:rsidTr="7D6A718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366907FB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1CC04856" w14:textId="02EC0716" w:rsidR="00327BEE" w:rsidRPr="001B7139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5F273" w14:textId="7FEF75E0" w:rsidR="001D53DC" w:rsidRPr="001B7139" w:rsidRDefault="323426BE" w:rsidP="7D6A7185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juhtumülesande lahendamisel metsakasvatustööde planeerimist 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(kirjalik või suuline vastamine)</w:t>
            </w:r>
            <w:r w:rsidR="24A3F08D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>vastavalt metsakasvatuse ja metsauuenduse põhimõtetele ning tavadele.</w:t>
            </w:r>
            <w:r w:rsidR="006B0299" w:rsidRPr="7D6A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Hindamine on mitteeristav.</w:t>
            </w:r>
          </w:p>
          <w:p w14:paraId="7DA2F22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C37E6" w14:textId="32D43BAB" w:rsidR="006B0299" w:rsidRPr="006B0299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Õppekava koostaja</w:t>
      </w:r>
      <w:r w:rsidR="00D1572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B0299" w:rsidRPr="006B0299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  <w:r w:rsidR="00BA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BA4AB2" w:rsidRPr="00552948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 w:rsidR="00BA4A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4D9C365" w14:textId="51FEF28A" w:rsidR="001D53DC" w:rsidRPr="006B0299" w:rsidRDefault="001D53DC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769A6C5" w14:textId="66911282" w:rsidR="006B0299" w:rsidRPr="006B0299" w:rsidRDefault="006B0299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B0299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  <w:r w:rsidR="00BA4AB2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1" w:history="1">
        <w:r w:rsidR="00BA4AB2" w:rsidRPr="00552948">
          <w:rPr>
            <w:rStyle w:val="Hperlink"/>
            <w:rFonts w:ascii="Times New Roman" w:eastAsia="Arial" w:hAnsi="Times New Roman" w:cs="Times New Roman"/>
            <w:sz w:val="24"/>
            <w:szCs w:val="24"/>
          </w:rPr>
          <w:t>tenek.maekivi@luua.ee</w:t>
        </w:r>
      </w:hyperlink>
      <w:r w:rsidR="00BA4AB2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0D878" w14:textId="77777777" w:rsidR="00F3172A" w:rsidRDefault="00F3172A">
      <w:pPr>
        <w:spacing w:after="0" w:line="240" w:lineRule="auto"/>
      </w:pPr>
      <w:r>
        <w:separator/>
      </w:r>
    </w:p>
  </w:endnote>
  <w:endnote w:type="continuationSeparator" w:id="0">
    <w:p w14:paraId="51C2181F" w14:textId="77777777" w:rsidR="00F3172A" w:rsidRDefault="00F3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47C6" w14:textId="77777777" w:rsidR="00F3172A" w:rsidRDefault="00F3172A">
      <w:pPr>
        <w:spacing w:after="0" w:line="240" w:lineRule="auto"/>
      </w:pPr>
      <w:r>
        <w:separator/>
      </w:r>
    </w:p>
  </w:footnote>
  <w:footnote w:type="continuationSeparator" w:id="0">
    <w:p w14:paraId="7E5DC58E" w14:textId="77777777" w:rsidR="00F3172A" w:rsidRDefault="00F3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7D6A7185"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2B7"/>
    <w:multiLevelType w:val="hybridMultilevel"/>
    <w:tmpl w:val="22AEF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BBE"/>
    <w:multiLevelType w:val="hybridMultilevel"/>
    <w:tmpl w:val="33F8FC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3E89"/>
    <w:multiLevelType w:val="hybridMultilevel"/>
    <w:tmpl w:val="B0B0FB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572F"/>
    <w:multiLevelType w:val="hybridMultilevel"/>
    <w:tmpl w:val="C472EA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63D21"/>
    <w:rsid w:val="000B7031"/>
    <w:rsid w:val="001779B5"/>
    <w:rsid w:val="001B7139"/>
    <w:rsid w:val="001C05DC"/>
    <w:rsid w:val="001D53DC"/>
    <w:rsid w:val="00210702"/>
    <w:rsid w:val="002D47D0"/>
    <w:rsid w:val="0030178A"/>
    <w:rsid w:val="0032218B"/>
    <w:rsid w:val="00327BEE"/>
    <w:rsid w:val="003333BC"/>
    <w:rsid w:val="00393704"/>
    <w:rsid w:val="003F4EBC"/>
    <w:rsid w:val="004113E8"/>
    <w:rsid w:val="00470A92"/>
    <w:rsid w:val="00492738"/>
    <w:rsid w:val="004E6D73"/>
    <w:rsid w:val="00526C9F"/>
    <w:rsid w:val="005414B7"/>
    <w:rsid w:val="00693415"/>
    <w:rsid w:val="006B0299"/>
    <w:rsid w:val="006F4060"/>
    <w:rsid w:val="00702A12"/>
    <w:rsid w:val="0072171D"/>
    <w:rsid w:val="008550FF"/>
    <w:rsid w:val="008962C5"/>
    <w:rsid w:val="008C62B1"/>
    <w:rsid w:val="0097587A"/>
    <w:rsid w:val="00982BE9"/>
    <w:rsid w:val="009A7DA4"/>
    <w:rsid w:val="009D2984"/>
    <w:rsid w:val="00A2569A"/>
    <w:rsid w:val="00A54B97"/>
    <w:rsid w:val="00A55733"/>
    <w:rsid w:val="00AB431F"/>
    <w:rsid w:val="00AC2AFC"/>
    <w:rsid w:val="00B11F1D"/>
    <w:rsid w:val="00B4040C"/>
    <w:rsid w:val="00BA4AB2"/>
    <w:rsid w:val="00BE0822"/>
    <w:rsid w:val="00D13B43"/>
    <w:rsid w:val="00D1572C"/>
    <w:rsid w:val="00D2598F"/>
    <w:rsid w:val="00D40629"/>
    <w:rsid w:val="00D56994"/>
    <w:rsid w:val="00DA61B9"/>
    <w:rsid w:val="00E35485"/>
    <w:rsid w:val="00E848A1"/>
    <w:rsid w:val="00ED4D6E"/>
    <w:rsid w:val="00F3172A"/>
    <w:rsid w:val="00F74F7B"/>
    <w:rsid w:val="00FE4A31"/>
    <w:rsid w:val="03CF689F"/>
    <w:rsid w:val="072031BE"/>
    <w:rsid w:val="12064B41"/>
    <w:rsid w:val="153279E6"/>
    <w:rsid w:val="198FE8AF"/>
    <w:rsid w:val="1BF88BD4"/>
    <w:rsid w:val="1C698172"/>
    <w:rsid w:val="1E670945"/>
    <w:rsid w:val="219EAA07"/>
    <w:rsid w:val="2214C2C0"/>
    <w:rsid w:val="24A3F08D"/>
    <w:rsid w:val="259F6E1A"/>
    <w:rsid w:val="266ADE02"/>
    <w:rsid w:val="2772B092"/>
    <w:rsid w:val="280DEB8B"/>
    <w:rsid w:val="29B5AF1E"/>
    <w:rsid w:val="2E7D2D0F"/>
    <w:rsid w:val="31B2A4C2"/>
    <w:rsid w:val="323426BE"/>
    <w:rsid w:val="39C7CD3C"/>
    <w:rsid w:val="3B4569CB"/>
    <w:rsid w:val="3B639D9D"/>
    <w:rsid w:val="3DF330F1"/>
    <w:rsid w:val="3E719870"/>
    <w:rsid w:val="429EFAFB"/>
    <w:rsid w:val="445B056E"/>
    <w:rsid w:val="4B3EC538"/>
    <w:rsid w:val="4DF4FAD5"/>
    <w:rsid w:val="4E558A65"/>
    <w:rsid w:val="53AF72EE"/>
    <w:rsid w:val="5B7CFE2A"/>
    <w:rsid w:val="5E065028"/>
    <w:rsid w:val="679BF797"/>
    <w:rsid w:val="6A239D65"/>
    <w:rsid w:val="6A6DF553"/>
    <w:rsid w:val="6CB330B9"/>
    <w:rsid w:val="6DA15456"/>
    <w:rsid w:val="7D6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431F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BA4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ek.maekivi@luua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9e605ff-bd3d-4878-9e30-75b5f7ab043b"/>
    <ds:schemaRef ds:uri="http://purl.org/dc/dcmitype/"/>
    <ds:schemaRef ds:uri="http://schemas.microsoft.com/office/infopath/2007/PartnerControls"/>
    <ds:schemaRef ds:uri="7d2c81c1-fa71-4ebd-bb35-b635fee8b6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F4890F-BC00-43E4-AFB7-C5B40A56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13</cp:revision>
  <cp:lastPrinted>2019-10-07T07:39:00Z</cp:lastPrinted>
  <dcterms:created xsi:type="dcterms:W3CDTF">2019-10-07T07:39:00Z</dcterms:created>
  <dcterms:modified xsi:type="dcterms:W3CDTF">2021-05-25T06:38:00Z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